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Генетика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02:38 МСК · База обновлена: 27.08.2026, 20:17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Генетика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Обратилась мать ребенка для уточнения диагноза у сына. Мальчик 1,5 года.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отставание в росте и моторном и развитии, тугоподвижность суставов.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 рождения затрудненное носовое дыхание. В первые месяцы жизни диагностирована дисплазия тазобедренных суставов, двустороння паховая грыжа. В 1,5 года – пупочная грыжа. Моторное развитие с задержкой: самостоятельно сидит с 1 года, ходит с поддержкой. Задержка роста.</w:t>
      </w:r>
    </w:p>
    <w:p>
      <w:pPr>
        <w:spacing w:after="58"/>
      </w:pPr>
      <w:r>
        <w:rPr>
          <w:b w:val="0"/>
          <w:i w:val="0"/>
        </w:rPr>
        <w:t>На втором году жизни появилась тугоподвижность суставов. В 1,5 года консультирован офтальмологом, установлено помутнение роговицы.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Мальчик от 2 беременности, родился в срок, при рождении масса 3950г, длина 55см. Оценка по шкале АПГАР 7/8б. Родился в удовлетворительном состоянии.</w:t>
      </w:r>
    </w:p>
    <w:p>
      <w:pPr>
        <w:spacing w:after="58"/>
      </w:pPr>
      <w:r>
        <w:rPr>
          <w:b w:val="0"/>
          <w:i w:val="0"/>
        </w:rPr>
        <w:t>Генеалогический анамнез: брак не кровнородственный, родословная не отягощена. Родители здоровы. Старший брат 10 лет клинически здоров.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Рост 73 см (менее 3 центеля), вес 11,5 кг (50 центель), окружность головы 52 см (более 97 центеля). Грубые черты лица (широкая переносица, гипоплазия средней трети лица, пухлые губы, приоткрытый рот, макроглоссия), тугоподвижность и контрактуры локтевых и коленных суставов, увеличение размеров живота, пупочная грыжа, увеличение печени (+3 см из под края реберной дуги), двусторонняя паховая грыжа.</w:t>
      </w:r>
    </w:p>
    <w:p>
      <w:pPr>
        <w:pStyle w:val="Heading2"/>
      </w:pPr>
      <w:r>
        <w:t>1. Диагноз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Наиболее вероятным предполагаемым клиническим диагнозом в данной ситуации является заболевание из группы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нарушений митохондриального бета-окисления жирных кислот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гликогенозов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наследственных миопатий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мукополисахаридозов</w:t>
      </w:r>
    </w:p>
    <w:p>
      <w:pPr>
        <w:spacing w:after="58"/>
      </w:pPr>
      <w:r>
        <w:rPr>
          <w:b w:val="0"/>
          <w:i w:val="0"/>
        </w:rPr>
        <w:t>Комментарии: Сочетание клинических проявлений в виде грубых черт лица, тугоподвижности суставов, задержки роста, макрокрании, помутнения роговицы, грыж позволяет врачу предположить мукополисахаридоз и является основанием для дальнейшего обследования.</w:t>
      </w:r>
    </w:p>
    <w:p>
      <w:pPr>
        <w:spacing w:after="58"/>
      </w:pPr>
      <w:r>
        <w:rPr>
          <w:b w:val="0"/>
          <w:i w:val="0"/>
        </w:rPr>
        <w:t>Методические рекомендации по ранней диагностике мукополисаардозов, 2019г. (стр. 10-11)</w:t>
      </w:r>
    </w:p>
    <w:p>
      <w:pPr>
        <w:spacing w:after="58"/>
      </w:pPr>
      <w:r>
        <w:rPr>
          <w:b w:val="0"/>
          <w:i w:val="0"/>
        </w:rPr>
        <w:t>Комментарии: Основные клинические проявления: грубые черты лица, умственная отсталость, помутнение роговицы, тугоподвижность суставов [1-3].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диагноза, первым этапом, наиболее целесообразно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кариотипирование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исследование спектра аминокислот мочи методом хроматографии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исследование экскреции меди с мочой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активности лиозосомных ферментов (гидролаз)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исследование экскреции гликозаминогликонов (дерматансульфата и гепарансульфата) с мочой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исследование желчных кислот мочи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4 - исследование активности лиозосомных ферментов (гидролаз)</w:t>
      </w:r>
      <w:r>
        <w:br/>
      </w:r>
      <w:r>
        <w:rPr>
          <w:b/>
          <w:i w:val="0"/>
        </w:rPr>
        <w:t>5 - исследование экскреции гликозаминогликонов (дерматансульфата и гепарансульфата) с мочой</w:t>
      </w:r>
    </w:p>
    <w:p>
      <w:pPr>
        <w:spacing w:after="58"/>
      </w:pPr>
      <w:r>
        <w:rPr>
          <w:b w:val="0"/>
          <w:i w:val="0"/>
        </w:rPr>
        <w:t>Комментарии: показатели активности ферментов лизосом являются основными лабораторными критериями МПС. У пациентов с МПС I типа определяется снижение активности альфа-L-идуронидазы.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Пациентам с подозрением на мукополисахаридоз первым этапом обследования рекомендовано исследование экскреции дерматансульфата и гепарансульфата с мочой. Эти показатели являются основными лабораторным критериями Мукополисахаридоза 1 типа (МПС 1 типа): определяется повышенный уровень дерматансульфата и гепарансульфата в моче.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Алгоритм молекулярно-генетического обследования (диагноза)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уточнения диагноза на втором этапе показано проведение молекулярно-генетическое исследование гена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 xml:space="preserve">_GALE_ (OMIM: * </w:t>
      </w:r>
      <w:hyperlink r:id="rId25">
        <w:r>
          <w:rPr>
            <w:color w:val="173C49"/>
            <w:u w:val="single"/>
          </w:rPr>
          <w:t xml:space="preserve">606953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 xml:space="preserve">_PAH_ (OMIM: * </w:t>
      </w:r>
      <w:hyperlink r:id="rId26">
        <w:r>
          <w:rPr>
            <w:color w:val="173C49"/>
            <w:u w:val="single"/>
          </w:rPr>
          <w:t xml:space="preserve">612349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_IDUA_ (OMIM:* </w:t>
      </w:r>
      <w:hyperlink r:id="rId28">
        <w:r>
          <w:rPr>
            <w:color w:val="173C49"/>
            <w:u w:val="single"/>
          </w:rPr>
          <w:t xml:space="preserve">252800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 xml:space="preserve">_GALK1_ (OMIM: * </w:t>
      </w:r>
      <w:hyperlink r:id="rId29">
        <w:r>
          <w:rPr>
            <w:color w:val="173C49"/>
            <w:u w:val="single"/>
          </w:rPr>
          <w:t xml:space="preserve">604313</w:t>
        </w:r>
      </w:hyperlink>
      <w:r>
        <w:rPr>
          <w:b w:val="0"/>
          <w:i w:val="0"/>
        </w:rPr>
        <w:t>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 xml:space="preserve">3 - _IDUA_ (OMIM:* </w:t>
      </w:r>
      <w:hyperlink r:id="rId28">
        <w:r>
          <w:rPr>
            <w:color w:val="173C49"/>
            <w:u w:val="single"/>
          </w:rPr>
          <w:t xml:space="preserve">252800</w:t>
        </w:r>
      </w:hyperlink>
      <w:r>
        <w:rPr>
          <w:b/>
          <w:i w:val="0"/>
        </w:rPr>
        <w:t>)</w:t>
      </w:r>
    </w:p>
    <w:p>
      <w:pPr>
        <w:spacing w:after="58"/>
      </w:pPr>
      <w:r>
        <w:rPr>
          <w:b w:val="0"/>
          <w:i w:val="0"/>
        </w:rPr>
        <w:t>Ребенку с клинико- лабораторными данными мукоплисахаридоза рекомендовано проведение молекулярно-генетического исследования: выявление мутаций в гене _IDUA_, кодирующем aльфа-L-идуронидазу.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На основании полученных результатов клинико-лабораторных исследований пробанду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Мукополисахаридоз 1 типа. Синдром Гурлер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Галактоземия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Гликогеновая болезнь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Мукополисахаридоз 2 типа. Синдром Хантера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Мукополисахаридоз 1 типа. Синдром Гурлер</w:t>
      </w:r>
    </w:p>
    <w:p>
      <w:pPr>
        <w:spacing w:after="58"/>
      </w:pPr>
      <w:r>
        <w:rPr>
          <w:b w:val="0"/>
          <w:i w:val="0"/>
        </w:rPr>
        <w:t>Комментарии: Диагноз МПС I устанавливается на основании совокупности клинических данных, результатов лабораторного исследования и молекулярно-генетического анализа.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5.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Тип наследования мукополисахаридоза 1 типа (OMIM:* </w:t>
      </w:r>
      <w:hyperlink r:id="rId33">
        <w:r>
          <w:rPr>
            <w:color w:val="173C49"/>
            <w:u w:val="single"/>
          </w:rPr>
          <w:t xml:space="preserve">607014</w:t>
        </w:r>
      </w:hyperlink>
      <w:r>
        <w:rPr>
          <w:b w:val="0"/>
          <w:i w:val="0"/>
        </w:rPr>
        <w:t>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X-сцепленный 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аутосомно-доминантный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аутосомно-рецессивный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X-сцепленный доминантный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аутосомно-рецессивный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Риск повторного рождения больного ребёнка с этим заболеванием в обследованной семье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составляет 50%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составляет 15%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составляет 25% независимо от пола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отсутствует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составляет 25% независимо от пола</w:t>
      </w:r>
    </w:p>
    <w:p>
      <w:pPr>
        <w:spacing w:after="58"/>
      </w:pPr>
      <w:r>
        <w:rPr>
          <w:b w:val="0"/>
          <w:i w:val="0"/>
        </w:rPr>
        <w:t>В случае аутосомно-рецессивных заболеваний, рекуррентный риск составляет 25%</w:t>
      </w:r>
    </w:p>
    <w:p>
      <w:pPr>
        <w:spacing w:after="58"/>
      </w:pPr>
      <w:r>
        <w:rPr>
          <w:b w:val="0"/>
          <w:i w:val="0"/>
        </w:rPr>
        <w:t>При аутосомно-рецессивном заболевании родители являются гетерозиготными носителями мутантного гена</w:t>
      </w:r>
    </w:p>
    <w:p>
      <w:pPr>
        <w:spacing w:after="58"/>
      </w:pPr>
      <w:r>
        <w:rPr>
          <w:b w:val="0"/>
          <w:i w:val="0"/>
        </w:rPr>
        <w:t>Комментарий: Аутосомно-рецессивный тип наследования характеризуется передачей заболевания от здоровых родителей детям с вероятностью 25%</w:t>
      </w:r>
    </w:p>
    <w:p>
      <w:pPr>
        <w:spacing w:after="58"/>
      </w:pPr>
      <w:r>
        <w:rPr>
          <w:b w:val="0"/>
          <w:i w:val="0"/>
        </w:rPr>
        <w:t>Генетика. Учебник для вузов/Под. ред. академ. РАМН В.И. Иванова. - М.: ИКЦ «Академкнига», 2006, 2007 - 639 с.:ил., стр. 453, стр. 455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 данном браке с высоким риском Мукополисахаридоза I типа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рекомендовано проведение пренатальной диагностики при наступлении следующей беременности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дальнейшее деторождение противопоказано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дальнейшее деторождение рекомендуется с использованием донорских половых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пренатальная диагностика не 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рекомендовано проведение пренатальной диагностики при наступлении следующей беременности</w:t>
      </w:r>
    </w:p>
    <w:p>
      <w:pPr>
        <w:spacing w:after="58"/>
      </w:pPr>
      <w:r>
        <w:rPr>
          <w:b w:val="0"/>
          <w:i w:val="0"/>
        </w:rPr>
        <w:t>Комментарии: Пренатальная диагностика рекомендована для любой последующей беременности в семьях, отягощенных хотя бы одним случаем МПСI.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6.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Трансплантации костного мозга (ТКМ) пациентам с мукополисахаридозом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 рекомендована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рекомендована до достижения 2-х 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рекомендована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рекомендована после 10 летнего возраста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рекомендована до достижения 2-х летнего возраста</w:t>
      </w:r>
    </w:p>
    <w:p>
      <w:pPr>
        <w:spacing w:after="58"/>
      </w:pPr>
      <w:r>
        <w:rPr>
          <w:b w:val="0"/>
          <w:i w:val="0"/>
        </w:rPr>
        <w:t>Комментарии: Рекомендовано проведение трансплантации костного мозга пациентам с МПС 1 с фенотипом Гурлер синдрома до достижения возраста двух лет. ТКМ ведет к уменьшению размеров печени и селезенки, улучшению функций дыхательной и сердечно–сосудистой систем.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Всем детям с мукополисахаридозом 1 типа показано проведение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диетотерапии с исключением казеинсодержащих продуктов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трансплантации печени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генной 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ферментзаместительной терапии ларонидазой из расчета 100 ЕД/кг в виде в/в инфузии еженедельно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ферментзаместительной терапии ларонидазой из расчета 100 ЕД/кг в виде в/в инфузии еженедельно</w:t>
      </w:r>
    </w:p>
    <w:p>
      <w:pPr>
        <w:spacing w:after="58"/>
      </w:pPr>
      <w:r>
        <w:rPr>
          <w:b w:val="0"/>
          <w:i w:val="0"/>
        </w:rPr>
        <w:t>Комментарии: Рекомендовано проведение ферментной заместительной терапии (ФЗТ). ФЗТ проводится ларонидазой (код ATX A16AB05).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в 1 мл раствора содержится 100 ЕД (приблизительно 0,58 мг) ларонидазы. Это рекомбинантная форма человеческой альфа-L-идуронидазы, производимая с использованием технологии рекомбинантной ДНК в клеточной культуре китайских хомячков. ФЗТ предназначена для восстановления уровня энзиматической активности, достаточного для гидролиза накопленных гликозаминогликанов и для предотвращения их дальнейшего накопления. После введения ларонидаза быстро выводится из системного кровотока и поглощается клетками, поступая в их лизосомы через маннозо-6-фосфатные рецепторы. Рекомендованный режим дозирования: еженедельное введение в дозе 100 ЕД/кг в виде в/в инфузии.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Фермент заместительная терапия детям с трансплантацией костного мозга (ТКМ)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проводится только до проведения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проводится до ТКМ и в течении 3-х месяцев после ТКМ (до восстановления нормального уровня собственного фермента)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противопоказана из-за возможных аллергических реакций и роста антител к ферменту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проводится до ТКМ и в течении 3-х месяцев после ТКМ (до восстановления нормального уровня собственного фермента)</w:t>
      </w:r>
    </w:p>
    <w:p>
      <w:pPr>
        <w:spacing w:after="58"/>
      </w:pPr>
      <w:r>
        <w:rPr>
          <w:b w:val="0"/>
          <w:i w:val="0"/>
        </w:rPr>
        <w:t>Комментарии: фермент заместительную терапию ларонидазой можно использовать перед трансплантацией костного мозга, непосредственно после нее, а также после трансплантации.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7.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Пациентам с мукополисахаридозом 1 типа, реабилитационные мероприятия и физиотерапия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показаны с 5-летнего возраста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показаны пациентам, не получающим фермент заместительную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показаны и разрабатываются индивидуально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показаны и разрабатываются индивидуально</w:t>
      </w:r>
    </w:p>
    <w:p>
      <w:pPr>
        <w:spacing w:after="58"/>
      </w:pPr>
      <w:r>
        <w:rPr>
          <w:b w:val="0"/>
          <w:i w:val="0"/>
        </w:rPr>
        <w:t>Комментарии: Пациенту с мукополисахаридозом I типа физиотерапевтом и врачом-ЛФК разрабатывается индивидуальный курс реабилитации, включающий массаж, лечебную физкультуру, физиотерапевтические процедуры (магнитотерапию, термотерапию, ударно-волновую терапию, метод биологической обратной связи и другие процедуры).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Комментарии: Реабилитационные курсы (массаж, ЛФК, физиопроцедуры, психолого–педагогическая помощь) желательно проводить в условиях дневного стационара проводится с частотой 3-4 раза в год, длительность – определяется тяжестью состояния и ответом на проводимые мероприятия.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Пациентам с мукополисахаридозом 1 типа, в том числе получающим фермент заместительную терапию, симптоматическая терапия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показана до назначения фермент заместительной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показана только в стационарных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показана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показана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показана</w:t>
      </w:r>
    </w:p>
    <w:p>
      <w:pPr>
        <w:spacing w:after="58"/>
      </w:pPr>
      <w:r>
        <w:rPr>
          <w:b w:val="0"/>
          <w:i w:val="0"/>
        </w:rPr>
        <w:t>Комментарии: Заболевание имеет мультисистемную природу и необратимые, прогрессирующие клинические проявления, что обусловливает необходимость наблюдения не только узкими специалистами (оториноларингологами, хирургами-ортопедами, офтальмологами, кардиологами, пульмонологами, невропатологами, стоматологами), но и физиотерапевтами, логопедами, психологами и работниками паллиативных служб.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Клинические рекомендации. Мукополисахаридоз I типа у детей</w:t>
        </w:r>
      </w:hyperlink>
      <w:r>
        <w:rPr>
          <w:b w:val="0"/>
          <w:i w:val="0"/>
        </w:rPr>
        <w:t>.</w:t>
      </w:r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Генетика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cr_49" TargetMode="External"/><Relationship Id="rId21" Type="http://schemas.openxmlformats.org/officeDocument/2006/relationships/hyperlink" Target="https://library.mededtech.ru/rest/documents/cr_49/#paragraph_1fk21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cr_49/#list_item_ef1n0" TargetMode="External"/><Relationship Id="rId24" Type="http://schemas.openxmlformats.org/officeDocument/2006/relationships/hyperlink" Target="https://library.mededtech.ru/rest/documents/cr_49/#list_item_jeth4" TargetMode="External"/><Relationship Id="rId25" Type="http://schemas.openxmlformats.org/officeDocument/2006/relationships/hyperlink" Target="https://omim.org/entry/606953" TargetMode="External"/><Relationship Id="rId26" Type="http://schemas.openxmlformats.org/officeDocument/2006/relationships/hyperlink" Target="https://omim.org/entry/612349" TargetMode="External"/><Relationship Id="rId27" Type="http://schemas.openxmlformats.org/officeDocument/2006/relationships/image" Target="media/image6.png"/><Relationship Id="rId28" Type="http://schemas.openxmlformats.org/officeDocument/2006/relationships/hyperlink" Target="https://omim.org/entry/252800" TargetMode="External"/><Relationship Id="rId29" Type="http://schemas.openxmlformats.org/officeDocument/2006/relationships/hyperlink" Target="https://omim.org/entry/604313" TargetMode="External"/><Relationship Id="rId30" Type="http://schemas.openxmlformats.org/officeDocument/2006/relationships/hyperlink" Target="https://library.mededtech.ru/rest/documents/cr_49/#list_item_527mr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cr_49/#paragraph_83roc" TargetMode="External"/><Relationship Id="rId33" Type="http://schemas.openxmlformats.org/officeDocument/2006/relationships/hyperlink" Target="https://omim.org/entry/607014" TargetMode="External"/><Relationship Id="rId34" Type="http://schemas.openxmlformats.org/officeDocument/2006/relationships/hyperlink" Target="https://library.mededtech.ru/rest/documents/cr_49/#paragraph_vanug" TargetMode="External"/><Relationship Id="rId35" Type="http://schemas.openxmlformats.org/officeDocument/2006/relationships/hyperlink" Target="https://library.mededtech.ru/rest/documents/cr_49/#paragraph_b422p" TargetMode="External"/><Relationship Id="rId36" Type="http://schemas.openxmlformats.org/officeDocument/2006/relationships/image" Target="media/image8.png"/><Relationship Id="rId37" Type="http://schemas.openxmlformats.org/officeDocument/2006/relationships/hyperlink" Target="https://library.mededtech.ru/rest/documents/cr_49/#list_item_7d9da" TargetMode="External"/><Relationship Id="rId38" Type="http://schemas.openxmlformats.org/officeDocument/2006/relationships/hyperlink" Target="https://library.mededtech.ru/rest/documents/cr_49/#list_item_ak297" TargetMode="External"/><Relationship Id="rId39" Type="http://schemas.openxmlformats.org/officeDocument/2006/relationships/hyperlink" Target="https://library.mededtech.ru/rest/documents/cr_49/#paragraph_2pr15" TargetMode="External"/><Relationship Id="rId40" Type="http://schemas.openxmlformats.org/officeDocument/2006/relationships/hyperlink" Target="https://library.mededtech.ru/rest/documents/cr_49/#paragraph_569c8" TargetMode="External"/><Relationship Id="rId41" Type="http://schemas.openxmlformats.org/officeDocument/2006/relationships/hyperlink" Target="https://library.mededtech.ru/rest/documents/cr_49/#paragraph_1qnb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